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96F" w:rsidRPr="00A3796F" w:rsidRDefault="00A3796F" w:rsidP="00A3796F">
      <w:pPr>
        <w:jc w:val="right"/>
        <w:rPr>
          <w:rFonts w:ascii="Times New Roman" w:eastAsia="標楷體" w:hAnsi="Times New Roman" w:cs="Times New Roman"/>
          <w:sz w:val="24"/>
          <w:szCs w:val="24"/>
        </w:rPr>
      </w:pPr>
      <w:bookmarkStart w:id="0" w:name="_GoBack"/>
      <w:bookmarkEnd w:id="0"/>
      <w:r w:rsidRPr="00A3796F">
        <w:rPr>
          <w:rFonts w:ascii="Times New Roman" w:eastAsia="標楷體" w:hAnsi="Times New Roman" w:cs="Times New Roman" w:hint="eastAsia"/>
          <w:sz w:val="24"/>
          <w:szCs w:val="24"/>
        </w:rPr>
        <w:t>駐捷克經濟組彙編</w:t>
      </w:r>
    </w:p>
    <w:p w:rsidR="00ED2B87" w:rsidRPr="00C06271" w:rsidRDefault="00DF27C4" w:rsidP="00DF27C4">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捷克符合</w:t>
      </w:r>
      <w:r w:rsidRPr="00DF27C4">
        <w:rPr>
          <w:rFonts w:ascii="Times New Roman" w:eastAsia="標楷體" w:hAnsi="Times New Roman" w:cs="Times New Roman"/>
          <w:sz w:val="28"/>
          <w:szCs w:val="28"/>
        </w:rPr>
        <w:t>ISO 15189/CAP/CLIA high complexity</w:t>
      </w: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實驗室清單</w:t>
      </w:r>
    </w:p>
    <w:tbl>
      <w:tblPr>
        <w:tblStyle w:val="a3"/>
        <w:tblW w:w="0" w:type="auto"/>
        <w:tblInd w:w="675" w:type="dxa"/>
        <w:tblLook w:val="04A0" w:firstRow="1" w:lastRow="0" w:firstColumn="1" w:lastColumn="0" w:noHBand="0" w:noVBand="1"/>
      </w:tblPr>
      <w:tblGrid>
        <w:gridCol w:w="1101"/>
        <w:gridCol w:w="5386"/>
        <w:gridCol w:w="4392"/>
      </w:tblGrid>
      <w:tr w:rsidR="00C06271" w:rsidRPr="00C06271" w:rsidTr="00C06271">
        <w:tc>
          <w:tcPr>
            <w:tcW w:w="1101" w:type="dxa"/>
            <w:vAlign w:val="bottom"/>
          </w:tcPr>
          <w:p w:rsidR="00C06271" w:rsidRPr="00C06271" w:rsidRDefault="00C06271" w:rsidP="00C06271">
            <w:pPr>
              <w:jc w:val="center"/>
              <w:rPr>
                <w:rFonts w:ascii="Times New Roman" w:eastAsia="標楷體" w:hAnsi="Times New Roman" w:cs="Times New Roman"/>
                <w:color w:val="000000"/>
                <w:sz w:val="28"/>
                <w:szCs w:val="28"/>
              </w:rPr>
            </w:pPr>
            <w:r w:rsidRPr="00C06271">
              <w:rPr>
                <w:rFonts w:ascii="Times New Roman" w:eastAsia="標楷體" w:hAnsi="Times New Roman" w:cs="Times New Roman"/>
                <w:color w:val="000000"/>
                <w:sz w:val="28"/>
                <w:szCs w:val="28"/>
              </w:rPr>
              <w:t>編號</w:t>
            </w:r>
          </w:p>
        </w:tc>
        <w:tc>
          <w:tcPr>
            <w:tcW w:w="5386" w:type="dxa"/>
            <w:vAlign w:val="bottom"/>
          </w:tcPr>
          <w:p w:rsidR="00C06271" w:rsidRPr="00C06271" w:rsidRDefault="00C06271" w:rsidP="00C06271">
            <w:pPr>
              <w:jc w:val="center"/>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機構名稱</w:t>
            </w:r>
          </w:p>
        </w:tc>
        <w:tc>
          <w:tcPr>
            <w:tcW w:w="4392" w:type="dxa"/>
            <w:vAlign w:val="bottom"/>
          </w:tcPr>
          <w:p w:rsidR="00C06271" w:rsidRPr="00C06271" w:rsidRDefault="00C06271" w:rsidP="00C06271">
            <w:pPr>
              <w:jc w:val="center"/>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網址</w:t>
            </w:r>
          </w:p>
        </w:tc>
      </w:tr>
      <w:tr w:rsidR="00C06271" w:rsidRPr="00C06271" w:rsidTr="00C06271">
        <w:tc>
          <w:tcPr>
            <w:tcW w:w="1101" w:type="dxa"/>
            <w:vAlign w:val="bottom"/>
          </w:tcPr>
          <w:p w:rsidR="00C06271" w:rsidRPr="00C06271" w:rsidRDefault="00C06271">
            <w:pPr>
              <w:jc w:val="center"/>
              <w:rPr>
                <w:rFonts w:ascii="Times New Roman" w:eastAsia="標楷體" w:hAnsi="Times New Roman" w:cs="Times New Roman"/>
                <w:color w:val="000000"/>
                <w:sz w:val="28"/>
                <w:szCs w:val="28"/>
              </w:rPr>
            </w:pPr>
            <w:r w:rsidRPr="00C06271">
              <w:rPr>
                <w:rFonts w:ascii="Times New Roman" w:eastAsia="標楷體" w:hAnsi="Times New Roman" w:cs="Times New Roman"/>
                <w:color w:val="000000"/>
                <w:sz w:val="28"/>
                <w:szCs w:val="28"/>
              </w:rPr>
              <w:t>1</w:t>
            </w:r>
          </w:p>
        </w:tc>
        <w:tc>
          <w:tcPr>
            <w:tcW w:w="5386" w:type="dxa"/>
            <w:vAlign w:val="bottom"/>
          </w:tcPr>
          <w:p w:rsidR="00C06271" w:rsidRPr="00C06271" w:rsidRDefault="00C06271">
            <w:pPr>
              <w:rPr>
                <w:rFonts w:ascii="Times New Roman" w:eastAsia="標楷體" w:hAnsi="Times New Roman" w:cs="Times New Roman"/>
                <w:color w:val="000000"/>
                <w:sz w:val="28"/>
                <w:szCs w:val="28"/>
              </w:rPr>
            </w:pPr>
            <w:r w:rsidRPr="00C06271">
              <w:rPr>
                <w:rFonts w:ascii="Times New Roman" w:eastAsia="標楷體" w:hAnsi="Times New Roman" w:cs="Times New Roman"/>
                <w:color w:val="000000"/>
                <w:sz w:val="28"/>
                <w:szCs w:val="28"/>
              </w:rPr>
              <w:t>Czech Academy of Sciences</w:t>
            </w:r>
          </w:p>
        </w:tc>
        <w:tc>
          <w:tcPr>
            <w:tcW w:w="4392" w:type="dxa"/>
            <w:vAlign w:val="bottom"/>
          </w:tcPr>
          <w:p w:rsidR="00C06271" w:rsidRPr="00C06271" w:rsidRDefault="0031576A">
            <w:pPr>
              <w:rPr>
                <w:rFonts w:ascii="Times New Roman" w:eastAsia="標楷體" w:hAnsi="Times New Roman" w:cs="Times New Roman"/>
                <w:color w:val="0563C1"/>
                <w:sz w:val="28"/>
                <w:szCs w:val="28"/>
                <w:u w:val="single"/>
              </w:rPr>
            </w:pPr>
            <w:hyperlink r:id="rId7" w:history="1">
              <w:r w:rsidR="00C06271" w:rsidRPr="00C06271">
                <w:rPr>
                  <w:rStyle w:val="a4"/>
                  <w:rFonts w:ascii="Times New Roman" w:eastAsia="標楷體" w:hAnsi="Times New Roman" w:cs="Times New Roman"/>
                  <w:sz w:val="28"/>
                  <w:szCs w:val="28"/>
                </w:rPr>
                <w:t>https://www.avcr.cz/en/</w:t>
              </w:r>
            </w:hyperlink>
          </w:p>
        </w:tc>
      </w:tr>
      <w:tr w:rsidR="00C06271" w:rsidRPr="00C06271" w:rsidTr="00C06271">
        <w:tc>
          <w:tcPr>
            <w:tcW w:w="1101" w:type="dxa"/>
            <w:vAlign w:val="bottom"/>
          </w:tcPr>
          <w:p w:rsidR="00C06271" w:rsidRPr="00C06271" w:rsidRDefault="00C06271">
            <w:pPr>
              <w:jc w:val="center"/>
              <w:rPr>
                <w:rFonts w:ascii="Times New Roman" w:eastAsia="標楷體" w:hAnsi="Times New Roman" w:cs="Times New Roman"/>
                <w:color w:val="000000"/>
                <w:sz w:val="28"/>
                <w:szCs w:val="28"/>
              </w:rPr>
            </w:pPr>
            <w:r w:rsidRPr="00C06271">
              <w:rPr>
                <w:rFonts w:ascii="Times New Roman" w:eastAsia="標楷體" w:hAnsi="Times New Roman" w:cs="Times New Roman"/>
                <w:color w:val="000000"/>
                <w:sz w:val="28"/>
                <w:szCs w:val="28"/>
              </w:rPr>
              <w:t>2</w:t>
            </w:r>
          </w:p>
        </w:tc>
        <w:tc>
          <w:tcPr>
            <w:tcW w:w="5386" w:type="dxa"/>
            <w:vAlign w:val="bottom"/>
          </w:tcPr>
          <w:p w:rsidR="00C06271" w:rsidRPr="00C06271" w:rsidRDefault="00C06271">
            <w:pPr>
              <w:rPr>
                <w:rFonts w:ascii="Times New Roman" w:eastAsia="標楷體" w:hAnsi="Times New Roman" w:cs="Times New Roman"/>
                <w:color w:val="000000"/>
                <w:sz w:val="28"/>
                <w:szCs w:val="28"/>
              </w:rPr>
            </w:pPr>
            <w:r w:rsidRPr="00C06271">
              <w:rPr>
                <w:rFonts w:ascii="Times New Roman" w:eastAsia="標楷體" w:hAnsi="Times New Roman" w:cs="Times New Roman"/>
                <w:color w:val="000000"/>
                <w:sz w:val="28"/>
                <w:szCs w:val="28"/>
              </w:rPr>
              <w:t>State Office for Nuclear Safety</w:t>
            </w:r>
          </w:p>
        </w:tc>
        <w:tc>
          <w:tcPr>
            <w:tcW w:w="4392" w:type="dxa"/>
            <w:vAlign w:val="bottom"/>
          </w:tcPr>
          <w:p w:rsidR="00C06271" w:rsidRPr="00C06271" w:rsidRDefault="0031576A">
            <w:pPr>
              <w:rPr>
                <w:rFonts w:ascii="Times New Roman" w:eastAsia="標楷體" w:hAnsi="Times New Roman" w:cs="Times New Roman"/>
                <w:color w:val="0563C1"/>
                <w:sz w:val="28"/>
                <w:szCs w:val="28"/>
                <w:u w:val="single"/>
              </w:rPr>
            </w:pPr>
            <w:hyperlink r:id="rId8" w:history="1">
              <w:r w:rsidR="00C06271" w:rsidRPr="00C06271">
                <w:rPr>
                  <w:rStyle w:val="a4"/>
                  <w:rFonts w:ascii="Times New Roman" w:eastAsia="標楷體" w:hAnsi="Times New Roman" w:cs="Times New Roman"/>
                  <w:sz w:val="28"/>
                  <w:szCs w:val="28"/>
                </w:rPr>
                <w:t>https://www.sujb.cz/en/</w:t>
              </w:r>
            </w:hyperlink>
          </w:p>
        </w:tc>
      </w:tr>
      <w:tr w:rsidR="00C06271" w:rsidRPr="00C06271" w:rsidTr="00C06271">
        <w:tc>
          <w:tcPr>
            <w:tcW w:w="1101" w:type="dxa"/>
            <w:vAlign w:val="bottom"/>
          </w:tcPr>
          <w:p w:rsidR="00C06271" w:rsidRPr="00C06271" w:rsidRDefault="00C06271">
            <w:pPr>
              <w:jc w:val="center"/>
              <w:rPr>
                <w:rFonts w:ascii="Times New Roman" w:eastAsia="標楷體" w:hAnsi="Times New Roman" w:cs="Times New Roman"/>
                <w:color w:val="000000"/>
                <w:sz w:val="28"/>
                <w:szCs w:val="28"/>
              </w:rPr>
            </w:pPr>
            <w:r w:rsidRPr="00C06271">
              <w:rPr>
                <w:rFonts w:ascii="Times New Roman" w:eastAsia="標楷體" w:hAnsi="Times New Roman" w:cs="Times New Roman"/>
                <w:color w:val="000000"/>
                <w:sz w:val="28"/>
                <w:szCs w:val="28"/>
              </w:rPr>
              <w:t>3</w:t>
            </w:r>
          </w:p>
        </w:tc>
        <w:tc>
          <w:tcPr>
            <w:tcW w:w="5386" w:type="dxa"/>
            <w:vAlign w:val="bottom"/>
          </w:tcPr>
          <w:p w:rsidR="00C06271" w:rsidRPr="00C06271" w:rsidRDefault="00C06271">
            <w:pPr>
              <w:rPr>
                <w:rFonts w:ascii="Times New Roman" w:eastAsia="標楷體" w:hAnsi="Times New Roman" w:cs="Times New Roman"/>
                <w:color w:val="000000"/>
                <w:sz w:val="28"/>
                <w:szCs w:val="28"/>
              </w:rPr>
            </w:pPr>
            <w:r w:rsidRPr="00C06271">
              <w:rPr>
                <w:rFonts w:ascii="Times New Roman" w:eastAsia="標楷體" w:hAnsi="Times New Roman" w:cs="Times New Roman"/>
                <w:color w:val="000000"/>
                <w:sz w:val="28"/>
                <w:szCs w:val="28"/>
              </w:rPr>
              <w:t>National Institute for Nuclear, Chemical and Biological Protection</w:t>
            </w:r>
          </w:p>
        </w:tc>
        <w:tc>
          <w:tcPr>
            <w:tcW w:w="4392" w:type="dxa"/>
            <w:vAlign w:val="bottom"/>
          </w:tcPr>
          <w:p w:rsidR="00C06271" w:rsidRPr="00C06271" w:rsidRDefault="0031576A">
            <w:pPr>
              <w:rPr>
                <w:rFonts w:ascii="Times New Roman" w:eastAsia="標楷體" w:hAnsi="Times New Roman" w:cs="Times New Roman"/>
                <w:color w:val="0563C1"/>
                <w:sz w:val="28"/>
                <w:szCs w:val="28"/>
                <w:u w:val="single"/>
              </w:rPr>
            </w:pPr>
            <w:hyperlink r:id="rId9" w:history="1">
              <w:r w:rsidR="00C06271" w:rsidRPr="00C06271">
                <w:rPr>
                  <w:rStyle w:val="a4"/>
                  <w:rFonts w:ascii="Times New Roman" w:eastAsia="標楷體" w:hAnsi="Times New Roman" w:cs="Times New Roman"/>
                  <w:sz w:val="28"/>
                  <w:szCs w:val="28"/>
                </w:rPr>
                <w:t>https://www.sujchbo.cz/home-ang/</w:t>
              </w:r>
            </w:hyperlink>
          </w:p>
        </w:tc>
      </w:tr>
    </w:tbl>
    <w:p w:rsidR="00C06271" w:rsidRPr="00C06271" w:rsidRDefault="00C06271">
      <w:pPr>
        <w:rPr>
          <w:rFonts w:ascii="Times New Roman" w:eastAsia="標楷體" w:hAnsi="Times New Roman" w:cs="Times New Roman"/>
          <w:sz w:val="28"/>
          <w:szCs w:val="28"/>
        </w:rPr>
      </w:pPr>
    </w:p>
    <w:p w:rsidR="00533755" w:rsidRPr="00C06271" w:rsidRDefault="00DF27C4" w:rsidP="00DF27C4">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捷克臨床研究機構</w:t>
      </w:r>
      <w:r>
        <w:rPr>
          <w:rFonts w:ascii="Times New Roman" w:eastAsia="標楷體" w:hAnsi="Times New Roman" w:cs="Times New Roman" w:hint="eastAsia"/>
          <w:sz w:val="28"/>
          <w:szCs w:val="28"/>
        </w:rPr>
        <w:t>(CRO)</w:t>
      </w:r>
      <w:r>
        <w:rPr>
          <w:rFonts w:ascii="Times New Roman" w:eastAsia="標楷體" w:hAnsi="Times New Roman" w:cs="Times New Roman" w:hint="eastAsia"/>
          <w:sz w:val="28"/>
          <w:szCs w:val="28"/>
        </w:rPr>
        <w:t>聯絡資訊</w:t>
      </w:r>
    </w:p>
    <w:tbl>
      <w:tblPr>
        <w:tblStyle w:val="a3"/>
        <w:tblW w:w="12866" w:type="dxa"/>
        <w:tblLayout w:type="fixed"/>
        <w:tblLook w:val="04A0" w:firstRow="1" w:lastRow="0" w:firstColumn="1" w:lastColumn="0" w:noHBand="0" w:noVBand="1"/>
      </w:tblPr>
      <w:tblGrid>
        <w:gridCol w:w="757"/>
        <w:gridCol w:w="1974"/>
        <w:gridCol w:w="3189"/>
        <w:gridCol w:w="1761"/>
        <w:gridCol w:w="5185"/>
      </w:tblGrid>
      <w:tr w:rsidR="00533755" w:rsidRPr="00C06271" w:rsidTr="00C06271">
        <w:trPr>
          <w:trHeight w:val="290"/>
          <w:tblHeader/>
        </w:trPr>
        <w:tc>
          <w:tcPr>
            <w:tcW w:w="757" w:type="dxa"/>
            <w:noWrap/>
            <w:hideMark/>
          </w:tcPr>
          <w:p w:rsidR="00533755" w:rsidRPr="00533755" w:rsidRDefault="00533755" w:rsidP="00C06271">
            <w:pPr>
              <w:jc w:val="center"/>
              <w:rPr>
                <w:rFonts w:ascii="Times New Roman" w:eastAsia="標楷體" w:hAnsi="Times New Roman" w:cs="Times New Roman"/>
                <w:color w:val="000000"/>
                <w:sz w:val="24"/>
                <w:szCs w:val="24"/>
              </w:rPr>
            </w:pPr>
            <w:r w:rsidRPr="00C06271">
              <w:rPr>
                <w:rFonts w:ascii="Times New Roman" w:eastAsia="標楷體" w:hAnsi="Times New Roman" w:cs="Times New Roman"/>
                <w:color w:val="000000"/>
                <w:sz w:val="24"/>
                <w:szCs w:val="24"/>
              </w:rPr>
              <w:t>編號</w:t>
            </w:r>
          </w:p>
        </w:tc>
        <w:tc>
          <w:tcPr>
            <w:tcW w:w="1974" w:type="dxa"/>
            <w:noWrap/>
            <w:hideMark/>
          </w:tcPr>
          <w:p w:rsidR="00533755" w:rsidRPr="00533755" w:rsidRDefault="00C06271" w:rsidP="00C06271">
            <w:pPr>
              <w:jc w:val="center"/>
              <w:rPr>
                <w:rFonts w:ascii="Times New Roman" w:eastAsia="標楷體" w:hAnsi="Times New Roman" w:cs="Times New Roman"/>
                <w:color w:val="000000"/>
                <w:sz w:val="28"/>
                <w:szCs w:val="28"/>
              </w:rPr>
            </w:pPr>
            <w:r w:rsidRPr="00C06271">
              <w:rPr>
                <w:rFonts w:ascii="Times New Roman" w:eastAsia="標楷體" w:hAnsi="Times New Roman" w:cs="Times New Roman" w:hint="eastAsia"/>
                <w:color w:val="000000"/>
                <w:sz w:val="28"/>
                <w:szCs w:val="28"/>
              </w:rPr>
              <w:t>機構</w:t>
            </w:r>
            <w:r w:rsidR="00533755" w:rsidRPr="00C06271">
              <w:rPr>
                <w:rFonts w:ascii="Times New Roman" w:eastAsia="標楷體" w:hAnsi="Times New Roman" w:cs="Times New Roman"/>
                <w:color w:val="000000"/>
                <w:sz w:val="28"/>
                <w:szCs w:val="28"/>
              </w:rPr>
              <w:t>名稱</w:t>
            </w:r>
          </w:p>
        </w:tc>
        <w:tc>
          <w:tcPr>
            <w:tcW w:w="3189" w:type="dxa"/>
            <w:noWrap/>
            <w:hideMark/>
          </w:tcPr>
          <w:p w:rsidR="00533755" w:rsidRPr="00533755" w:rsidRDefault="00533755" w:rsidP="00C06271">
            <w:pPr>
              <w:jc w:val="center"/>
              <w:rPr>
                <w:rFonts w:ascii="Times New Roman" w:eastAsia="標楷體" w:hAnsi="Times New Roman" w:cs="Times New Roman"/>
                <w:color w:val="000000"/>
                <w:sz w:val="28"/>
                <w:szCs w:val="28"/>
              </w:rPr>
            </w:pPr>
            <w:r w:rsidRPr="00C06271">
              <w:rPr>
                <w:rFonts w:ascii="Times New Roman" w:eastAsia="標楷體" w:hAnsi="Times New Roman" w:cs="Times New Roman"/>
                <w:color w:val="000000"/>
                <w:sz w:val="28"/>
                <w:szCs w:val="28"/>
              </w:rPr>
              <w:t>網址</w:t>
            </w:r>
          </w:p>
        </w:tc>
        <w:tc>
          <w:tcPr>
            <w:tcW w:w="1761" w:type="dxa"/>
            <w:noWrap/>
            <w:hideMark/>
          </w:tcPr>
          <w:p w:rsidR="00533755" w:rsidRPr="00533755" w:rsidRDefault="00533755" w:rsidP="00C06271">
            <w:pPr>
              <w:jc w:val="center"/>
              <w:rPr>
                <w:rFonts w:ascii="Times New Roman" w:eastAsia="標楷體" w:hAnsi="Times New Roman" w:cs="Times New Roman"/>
                <w:color w:val="000000"/>
                <w:sz w:val="28"/>
                <w:szCs w:val="28"/>
              </w:rPr>
            </w:pPr>
            <w:r w:rsidRPr="00C06271">
              <w:rPr>
                <w:rFonts w:ascii="Times New Roman" w:eastAsia="標楷體" w:hAnsi="Times New Roman" w:cs="Times New Roman"/>
                <w:color w:val="000000"/>
                <w:sz w:val="28"/>
                <w:szCs w:val="28"/>
              </w:rPr>
              <w:t>地址</w:t>
            </w:r>
          </w:p>
        </w:tc>
        <w:tc>
          <w:tcPr>
            <w:tcW w:w="5185" w:type="dxa"/>
            <w:noWrap/>
            <w:hideMark/>
          </w:tcPr>
          <w:p w:rsidR="00533755" w:rsidRPr="00533755" w:rsidRDefault="00533755" w:rsidP="00C06271">
            <w:pPr>
              <w:jc w:val="center"/>
              <w:rPr>
                <w:rFonts w:ascii="Times New Roman" w:eastAsia="標楷體" w:hAnsi="Times New Roman" w:cs="Times New Roman"/>
                <w:color w:val="000000"/>
                <w:sz w:val="28"/>
                <w:szCs w:val="28"/>
              </w:rPr>
            </w:pPr>
            <w:r w:rsidRPr="00C06271">
              <w:rPr>
                <w:rFonts w:ascii="Times New Roman" w:eastAsia="標楷體" w:hAnsi="Times New Roman" w:cs="Times New Roman"/>
                <w:color w:val="000000"/>
                <w:sz w:val="28"/>
                <w:szCs w:val="28"/>
              </w:rPr>
              <w:t>簡述</w:t>
            </w:r>
          </w:p>
        </w:tc>
      </w:tr>
      <w:tr w:rsidR="00C06271" w:rsidRPr="00C06271" w:rsidTr="00C06271">
        <w:trPr>
          <w:trHeight w:val="1160"/>
        </w:trPr>
        <w:tc>
          <w:tcPr>
            <w:tcW w:w="757" w:type="dxa"/>
            <w:noWrap/>
            <w:hideMark/>
          </w:tcPr>
          <w:p w:rsidR="00533755" w:rsidRPr="00533755" w:rsidRDefault="00533755" w:rsidP="00533755">
            <w:pPr>
              <w:jc w:val="cente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1</w:t>
            </w:r>
          </w:p>
        </w:tc>
        <w:tc>
          <w:tcPr>
            <w:tcW w:w="1974" w:type="dxa"/>
            <w:noWrap/>
            <w:hideMark/>
          </w:tcPr>
          <w:p w:rsidR="00533755" w:rsidRPr="00533755" w:rsidRDefault="00533755" w:rsidP="00533755">
            <w:pPr>
              <w:rPr>
                <w:rFonts w:ascii="Times New Roman" w:eastAsia="標楷體" w:hAnsi="Times New Roman" w:cs="Times New Roman"/>
                <w:b/>
                <w:color w:val="000000"/>
                <w:sz w:val="28"/>
                <w:szCs w:val="28"/>
              </w:rPr>
            </w:pPr>
            <w:r w:rsidRPr="00533755">
              <w:rPr>
                <w:rFonts w:ascii="Times New Roman" w:eastAsia="標楷體" w:hAnsi="Times New Roman" w:cs="Times New Roman"/>
                <w:b/>
                <w:color w:val="000000"/>
                <w:sz w:val="28"/>
                <w:szCs w:val="28"/>
              </w:rPr>
              <w:t>A-Pharma s.r.o.</w:t>
            </w:r>
          </w:p>
        </w:tc>
        <w:tc>
          <w:tcPr>
            <w:tcW w:w="3189" w:type="dxa"/>
            <w:noWrap/>
            <w:hideMark/>
          </w:tcPr>
          <w:p w:rsidR="00533755" w:rsidRPr="00533755" w:rsidRDefault="0031576A" w:rsidP="00533755">
            <w:pPr>
              <w:rPr>
                <w:rFonts w:ascii="Times New Roman" w:eastAsia="標楷體" w:hAnsi="Times New Roman" w:cs="Times New Roman"/>
                <w:color w:val="0563C1"/>
                <w:sz w:val="28"/>
                <w:szCs w:val="28"/>
                <w:u w:val="single"/>
              </w:rPr>
            </w:pPr>
            <w:hyperlink r:id="rId10" w:history="1">
              <w:r w:rsidR="00533755" w:rsidRPr="00C06271">
                <w:rPr>
                  <w:rFonts w:ascii="Times New Roman" w:eastAsia="標楷體" w:hAnsi="Times New Roman" w:cs="Times New Roman"/>
                  <w:color w:val="0563C1"/>
                  <w:sz w:val="28"/>
                  <w:szCs w:val="28"/>
                  <w:u w:val="single"/>
                </w:rPr>
                <w:t>http://www.a-pharma.cz</w:t>
              </w:r>
            </w:hyperlink>
          </w:p>
        </w:tc>
        <w:tc>
          <w:tcPr>
            <w:tcW w:w="1761" w:type="dxa"/>
            <w:noWrap/>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K Ohrad</w:t>
            </w:r>
            <w:r w:rsidRPr="00533755">
              <w:rPr>
                <w:rFonts w:ascii="Times New Roman" w:eastAsia="新細明體" w:hAnsi="Times New Roman" w:cs="Times New Roman"/>
                <w:color w:val="000000"/>
                <w:sz w:val="28"/>
                <w:szCs w:val="28"/>
              </w:rPr>
              <w:t>ě</w:t>
            </w:r>
            <w:r w:rsidRPr="00533755">
              <w:rPr>
                <w:rFonts w:ascii="Times New Roman" w:eastAsia="標楷體" w:hAnsi="Times New Roman" w:cs="Times New Roman"/>
                <w:color w:val="000000"/>
                <w:sz w:val="28"/>
                <w:szCs w:val="28"/>
              </w:rPr>
              <w:t xml:space="preserve"> 528/2, 155 00 Prague 5</w:t>
            </w:r>
          </w:p>
        </w:tc>
        <w:tc>
          <w:tcPr>
            <w:tcW w:w="5185" w:type="dxa"/>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Privately owned Czech CRO (Contract research organization) founded in 1996.</w:t>
            </w:r>
            <w:r w:rsidRPr="00533755">
              <w:rPr>
                <w:rFonts w:ascii="Times New Roman" w:eastAsia="標楷體" w:hAnsi="Times New Roman" w:cs="Times New Roman"/>
                <w:color w:val="000000"/>
                <w:sz w:val="28"/>
                <w:szCs w:val="28"/>
              </w:rPr>
              <w:br/>
              <w:t>The company can offer complete services on the field of clinical trials, medical devices, drug registration, data management, biostatistics, quality assurance including GCP auditing, translations of medical text and GCP trainings.</w:t>
            </w:r>
          </w:p>
        </w:tc>
      </w:tr>
      <w:tr w:rsidR="00C06271" w:rsidRPr="00C06271" w:rsidTr="00C06271">
        <w:trPr>
          <w:trHeight w:val="1500"/>
        </w:trPr>
        <w:tc>
          <w:tcPr>
            <w:tcW w:w="757" w:type="dxa"/>
            <w:noWrap/>
            <w:hideMark/>
          </w:tcPr>
          <w:p w:rsidR="00533755" w:rsidRPr="00533755" w:rsidRDefault="00533755" w:rsidP="00533755">
            <w:pPr>
              <w:jc w:val="cente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2</w:t>
            </w:r>
          </w:p>
        </w:tc>
        <w:tc>
          <w:tcPr>
            <w:tcW w:w="1974" w:type="dxa"/>
            <w:noWrap/>
            <w:hideMark/>
          </w:tcPr>
          <w:p w:rsidR="00533755" w:rsidRPr="00533755" w:rsidRDefault="00533755" w:rsidP="00533755">
            <w:pPr>
              <w:rPr>
                <w:rFonts w:ascii="Times New Roman" w:eastAsia="標楷體" w:hAnsi="Times New Roman" w:cs="Times New Roman"/>
                <w:b/>
                <w:color w:val="000000"/>
                <w:sz w:val="28"/>
                <w:szCs w:val="28"/>
              </w:rPr>
            </w:pPr>
            <w:r w:rsidRPr="00533755">
              <w:rPr>
                <w:rFonts w:ascii="Times New Roman" w:eastAsia="標楷體" w:hAnsi="Times New Roman" w:cs="Times New Roman"/>
                <w:b/>
                <w:color w:val="000000"/>
                <w:sz w:val="28"/>
                <w:szCs w:val="28"/>
              </w:rPr>
              <w:t>CEPHA s.r.o</w:t>
            </w:r>
          </w:p>
        </w:tc>
        <w:tc>
          <w:tcPr>
            <w:tcW w:w="3189" w:type="dxa"/>
            <w:noWrap/>
            <w:hideMark/>
          </w:tcPr>
          <w:p w:rsidR="00533755" w:rsidRPr="00533755" w:rsidRDefault="0031576A" w:rsidP="00533755">
            <w:pPr>
              <w:rPr>
                <w:rFonts w:ascii="Times New Roman" w:eastAsia="標楷體" w:hAnsi="Times New Roman" w:cs="Times New Roman"/>
                <w:color w:val="0563C1"/>
                <w:sz w:val="28"/>
                <w:szCs w:val="28"/>
                <w:u w:val="single"/>
              </w:rPr>
            </w:pPr>
            <w:hyperlink r:id="rId11" w:history="1">
              <w:r w:rsidR="00533755" w:rsidRPr="00C06271">
                <w:rPr>
                  <w:rFonts w:ascii="Times New Roman" w:eastAsia="標楷體" w:hAnsi="Times New Roman" w:cs="Times New Roman"/>
                  <w:color w:val="0563C1"/>
                  <w:sz w:val="28"/>
                  <w:szCs w:val="28"/>
                  <w:u w:val="single"/>
                </w:rPr>
                <w:t>http://www.cepha.cz</w:t>
              </w:r>
            </w:hyperlink>
          </w:p>
        </w:tc>
        <w:tc>
          <w:tcPr>
            <w:tcW w:w="1761" w:type="dxa"/>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 xml:space="preserve">Hviezdoslavova 1600/6,CZ-149 00 Prague 4; Komenskeho 19 CZ-323 </w:t>
            </w:r>
            <w:r w:rsidRPr="00533755">
              <w:rPr>
                <w:rFonts w:ascii="Times New Roman" w:eastAsia="標楷體" w:hAnsi="Times New Roman" w:cs="Times New Roman"/>
                <w:color w:val="000000"/>
                <w:sz w:val="28"/>
                <w:szCs w:val="28"/>
              </w:rPr>
              <w:lastRenderedPageBreak/>
              <w:t>00 Pilsen</w:t>
            </w:r>
          </w:p>
        </w:tc>
        <w:tc>
          <w:tcPr>
            <w:tcW w:w="5185" w:type="dxa"/>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lastRenderedPageBreak/>
              <w:t xml:space="preserve">Center for Pharmacology and Analysis - has been founded in 1992 by a group of scientists with extensive experience in clinical research, pharmacology, statistics, analytical chemistry and regulatory affairs as the first independent, privately held Contract Research Organization (CRO) in </w:t>
            </w:r>
            <w:r w:rsidRPr="00533755">
              <w:rPr>
                <w:rFonts w:ascii="Times New Roman" w:eastAsia="標楷體" w:hAnsi="Times New Roman" w:cs="Times New Roman"/>
                <w:color w:val="000000"/>
                <w:sz w:val="28"/>
                <w:szCs w:val="28"/>
              </w:rPr>
              <w:lastRenderedPageBreak/>
              <w:t xml:space="preserve">former Czechoslovakia. Currently, CEPHA is the leading CRO in the Czech Republic providing a broad range of clinical research services. </w:t>
            </w:r>
          </w:p>
        </w:tc>
      </w:tr>
      <w:tr w:rsidR="00C06271" w:rsidRPr="00C06271" w:rsidTr="00C06271">
        <w:trPr>
          <w:trHeight w:val="580"/>
        </w:trPr>
        <w:tc>
          <w:tcPr>
            <w:tcW w:w="757" w:type="dxa"/>
            <w:noWrap/>
            <w:hideMark/>
          </w:tcPr>
          <w:p w:rsidR="00533755" w:rsidRPr="00533755" w:rsidRDefault="00533755" w:rsidP="00533755">
            <w:pPr>
              <w:jc w:val="cente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lastRenderedPageBreak/>
              <w:t>3</w:t>
            </w:r>
          </w:p>
        </w:tc>
        <w:tc>
          <w:tcPr>
            <w:tcW w:w="1974" w:type="dxa"/>
            <w:noWrap/>
            <w:hideMark/>
          </w:tcPr>
          <w:p w:rsidR="00533755" w:rsidRPr="00533755" w:rsidRDefault="00533755" w:rsidP="00533755">
            <w:pPr>
              <w:rPr>
                <w:rFonts w:ascii="Times New Roman" w:eastAsia="標楷體" w:hAnsi="Times New Roman" w:cs="Times New Roman"/>
                <w:b/>
                <w:color w:val="000000"/>
                <w:sz w:val="28"/>
                <w:szCs w:val="28"/>
              </w:rPr>
            </w:pPr>
            <w:r w:rsidRPr="00533755">
              <w:rPr>
                <w:rFonts w:ascii="Times New Roman" w:eastAsia="標楷體" w:hAnsi="Times New Roman" w:cs="Times New Roman"/>
                <w:b/>
                <w:color w:val="000000"/>
                <w:sz w:val="28"/>
                <w:szCs w:val="28"/>
              </w:rPr>
              <w:t>Covance Inc.</w:t>
            </w:r>
          </w:p>
        </w:tc>
        <w:tc>
          <w:tcPr>
            <w:tcW w:w="3189" w:type="dxa"/>
            <w:noWrap/>
            <w:hideMark/>
          </w:tcPr>
          <w:p w:rsidR="00533755" w:rsidRPr="00533755" w:rsidRDefault="0031576A" w:rsidP="00533755">
            <w:pPr>
              <w:rPr>
                <w:rFonts w:ascii="Times New Roman" w:eastAsia="標楷體" w:hAnsi="Times New Roman" w:cs="Times New Roman"/>
                <w:color w:val="0563C1"/>
                <w:sz w:val="28"/>
                <w:szCs w:val="28"/>
                <w:u w:val="single"/>
              </w:rPr>
            </w:pPr>
            <w:hyperlink r:id="rId12" w:history="1">
              <w:r w:rsidR="00533755" w:rsidRPr="00C06271">
                <w:rPr>
                  <w:rFonts w:ascii="Times New Roman" w:eastAsia="標楷體" w:hAnsi="Times New Roman" w:cs="Times New Roman"/>
                  <w:color w:val="0563C1"/>
                  <w:sz w:val="28"/>
                  <w:szCs w:val="28"/>
                  <w:u w:val="single"/>
                </w:rPr>
                <w:t>https://www.covance.com/</w:t>
              </w:r>
            </w:hyperlink>
          </w:p>
        </w:tc>
        <w:tc>
          <w:tcPr>
            <w:tcW w:w="1761" w:type="dxa"/>
            <w:noWrap/>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 xml:space="preserve">V Parku 2343/24 148 00 Praha 4 </w:t>
            </w:r>
          </w:p>
        </w:tc>
        <w:tc>
          <w:tcPr>
            <w:tcW w:w="5185" w:type="dxa"/>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Global contract research organization (CRO), the world’s most comprehensive drug development company.</w:t>
            </w:r>
          </w:p>
        </w:tc>
      </w:tr>
      <w:tr w:rsidR="00C06271" w:rsidRPr="00C06271" w:rsidTr="00C06271">
        <w:trPr>
          <w:trHeight w:val="1450"/>
        </w:trPr>
        <w:tc>
          <w:tcPr>
            <w:tcW w:w="757" w:type="dxa"/>
            <w:noWrap/>
            <w:hideMark/>
          </w:tcPr>
          <w:p w:rsidR="00533755" w:rsidRPr="00533755" w:rsidRDefault="00533755" w:rsidP="00533755">
            <w:pPr>
              <w:jc w:val="cente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4</w:t>
            </w:r>
          </w:p>
        </w:tc>
        <w:tc>
          <w:tcPr>
            <w:tcW w:w="1974" w:type="dxa"/>
            <w:noWrap/>
            <w:hideMark/>
          </w:tcPr>
          <w:p w:rsidR="00533755" w:rsidRPr="00533755" w:rsidRDefault="00533755" w:rsidP="00533755">
            <w:pPr>
              <w:rPr>
                <w:rFonts w:ascii="Times New Roman" w:eastAsia="標楷體" w:hAnsi="Times New Roman" w:cs="Times New Roman"/>
                <w:b/>
                <w:color w:val="000000"/>
                <w:sz w:val="28"/>
                <w:szCs w:val="28"/>
              </w:rPr>
            </w:pPr>
            <w:r w:rsidRPr="00533755">
              <w:rPr>
                <w:rFonts w:ascii="Times New Roman" w:eastAsia="標楷體" w:hAnsi="Times New Roman" w:cs="Times New Roman"/>
                <w:b/>
                <w:color w:val="000000"/>
                <w:sz w:val="28"/>
                <w:szCs w:val="28"/>
              </w:rPr>
              <w:t>Cromos Pharma</w:t>
            </w:r>
          </w:p>
        </w:tc>
        <w:tc>
          <w:tcPr>
            <w:tcW w:w="3189" w:type="dxa"/>
            <w:noWrap/>
            <w:hideMark/>
          </w:tcPr>
          <w:p w:rsidR="00533755" w:rsidRPr="00533755" w:rsidRDefault="0031576A" w:rsidP="00533755">
            <w:pPr>
              <w:rPr>
                <w:rFonts w:ascii="Times New Roman" w:eastAsia="標楷體" w:hAnsi="Times New Roman" w:cs="Times New Roman"/>
                <w:color w:val="0563C1"/>
                <w:sz w:val="28"/>
                <w:szCs w:val="28"/>
                <w:u w:val="single"/>
              </w:rPr>
            </w:pPr>
            <w:hyperlink r:id="rId13" w:history="1">
              <w:r w:rsidR="00533755" w:rsidRPr="00C06271">
                <w:rPr>
                  <w:rFonts w:ascii="Times New Roman" w:eastAsia="標楷體" w:hAnsi="Times New Roman" w:cs="Times New Roman"/>
                  <w:color w:val="0563C1"/>
                  <w:sz w:val="28"/>
                  <w:szCs w:val="28"/>
                  <w:u w:val="single"/>
                </w:rPr>
                <w:t>https://cromospharma.com</w:t>
              </w:r>
            </w:hyperlink>
          </w:p>
        </w:tc>
        <w:tc>
          <w:tcPr>
            <w:tcW w:w="1761" w:type="dxa"/>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Nove Butovice, building C, 4th floor, Bucharova 2657/12, Prague, 158 00</w:t>
            </w:r>
          </w:p>
        </w:tc>
        <w:tc>
          <w:tcPr>
            <w:tcW w:w="5185" w:type="dxa"/>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 xml:space="preserve">At Cromos Pharma our philosophy is simple – our patients and clients come first. We strive to assist our clients in advancement of their clinical development programs in order to improve the lives of our patients. Over the past 15 years we have fine-tuned our business model to reflect validated best practices from the most highly regulated venues, which we have carefully tailored to suit local environments. </w:t>
            </w:r>
          </w:p>
        </w:tc>
      </w:tr>
      <w:tr w:rsidR="00C06271" w:rsidRPr="00C06271" w:rsidTr="00C06271">
        <w:trPr>
          <w:trHeight w:val="1160"/>
        </w:trPr>
        <w:tc>
          <w:tcPr>
            <w:tcW w:w="757" w:type="dxa"/>
            <w:noWrap/>
            <w:hideMark/>
          </w:tcPr>
          <w:p w:rsidR="00533755" w:rsidRPr="00533755" w:rsidRDefault="00533755" w:rsidP="00533755">
            <w:pPr>
              <w:jc w:val="cente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5</w:t>
            </w:r>
          </w:p>
        </w:tc>
        <w:tc>
          <w:tcPr>
            <w:tcW w:w="1974" w:type="dxa"/>
            <w:noWrap/>
            <w:hideMark/>
          </w:tcPr>
          <w:p w:rsidR="00533755" w:rsidRPr="00533755" w:rsidRDefault="00533755" w:rsidP="00533755">
            <w:pPr>
              <w:rPr>
                <w:rFonts w:ascii="Times New Roman" w:eastAsia="標楷體" w:hAnsi="Times New Roman" w:cs="Times New Roman"/>
                <w:b/>
                <w:color w:val="000000"/>
                <w:sz w:val="28"/>
                <w:szCs w:val="28"/>
              </w:rPr>
            </w:pPr>
            <w:r w:rsidRPr="00533755">
              <w:rPr>
                <w:rFonts w:ascii="Times New Roman" w:eastAsia="標楷體" w:hAnsi="Times New Roman" w:cs="Times New Roman"/>
                <w:b/>
                <w:color w:val="000000"/>
                <w:sz w:val="28"/>
                <w:szCs w:val="28"/>
              </w:rPr>
              <w:t>ICON</w:t>
            </w:r>
          </w:p>
        </w:tc>
        <w:tc>
          <w:tcPr>
            <w:tcW w:w="3189" w:type="dxa"/>
            <w:noWrap/>
            <w:hideMark/>
          </w:tcPr>
          <w:p w:rsidR="00533755" w:rsidRPr="00533755" w:rsidRDefault="0031576A" w:rsidP="00533755">
            <w:pPr>
              <w:rPr>
                <w:rFonts w:ascii="Times New Roman" w:eastAsia="標楷體" w:hAnsi="Times New Roman" w:cs="Times New Roman"/>
                <w:color w:val="0563C1"/>
                <w:sz w:val="28"/>
                <w:szCs w:val="28"/>
                <w:u w:val="single"/>
              </w:rPr>
            </w:pPr>
            <w:hyperlink r:id="rId14" w:history="1">
              <w:r w:rsidR="00533755" w:rsidRPr="00C06271">
                <w:rPr>
                  <w:rFonts w:ascii="Times New Roman" w:eastAsia="標楷體" w:hAnsi="Times New Roman" w:cs="Times New Roman"/>
                  <w:color w:val="0563C1"/>
                  <w:sz w:val="28"/>
                  <w:szCs w:val="28"/>
                  <w:u w:val="single"/>
                </w:rPr>
                <w:t>https://iconplc.com/</w:t>
              </w:r>
            </w:hyperlink>
          </w:p>
        </w:tc>
        <w:tc>
          <w:tcPr>
            <w:tcW w:w="1761" w:type="dxa"/>
            <w:noWrap/>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V Parku 2335/20, Praha 4 - Chodov, 148 00</w:t>
            </w:r>
          </w:p>
        </w:tc>
        <w:tc>
          <w:tcPr>
            <w:tcW w:w="5185" w:type="dxa"/>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Since our foundation in Dublin, Ireland in 1990, our mission has been to help our clients to accelerate the development of drugs and devices that save lives and improve quality of life.We are a global provider of outsourced development and commercialisation services to pharmaceutical, biotechnology, medical device and government and public health organisations.</w:t>
            </w:r>
          </w:p>
        </w:tc>
      </w:tr>
      <w:tr w:rsidR="00C06271" w:rsidRPr="00C06271" w:rsidTr="00C06271">
        <w:trPr>
          <w:trHeight w:val="2030"/>
        </w:trPr>
        <w:tc>
          <w:tcPr>
            <w:tcW w:w="757" w:type="dxa"/>
            <w:noWrap/>
            <w:hideMark/>
          </w:tcPr>
          <w:p w:rsidR="00533755" w:rsidRPr="00533755" w:rsidRDefault="00533755" w:rsidP="00533755">
            <w:pPr>
              <w:jc w:val="cente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lastRenderedPageBreak/>
              <w:t>6</w:t>
            </w:r>
          </w:p>
        </w:tc>
        <w:tc>
          <w:tcPr>
            <w:tcW w:w="1974" w:type="dxa"/>
            <w:noWrap/>
            <w:hideMark/>
          </w:tcPr>
          <w:p w:rsidR="00533755" w:rsidRPr="00533755" w:rsidRDefault="00533755" w:rsidP="00533755">
            <w:pPr>
              <w:rPr>
                <w:rFonts w:ascii="Times New Roman" w:eastAsia="標楷體" w:hAnsi="Times New Roman" w:cs="Times New Roman"/>
                <w:b/>
                <w:color w:val="000000"/>
                <w:sz w:val="28"/>
                <w:szCs w:val="28"/>
              </w:rPr>
            </w:pPr>
            <w:r w:rsidRPr="00533755">
              <w:rPr>
                <w:rFonts w:ascii="Times New Roman" w:eastAsia="標楷體" w:hAnsi="Times New Roman" w:cs="Times New Roman"/>
                <w:b/>
                <w:color w:val="000000"/>
                <w:sz w:val="28"/>
                <w:szCs w:val="28"/>
              </w:rPr>
              <w:t>IQVIA</w:t>
            </w:r>
          </w:p>
        </w:tc>
        <w:tc>
          <w:tcPr>
            <w:tcW w:w="3189" w:type="dxa"/>
            <w:noWrap/>
            <w:hideMark/>
          </w:tcPr>
          <w:p w:rsidR="00533755" w:rsidRPr="00533755" w:rsidRDefault="0031576A" w:rsidP="00533755">
            <w:pPr>
              <w:rPr>
                <w:rFonts w:ascii="Times New Roman" w:eastAsia="標楷體" w:hAnsi="Times New Roman" w:cs="Times New Roman"/>
                <w:color w:val="0563C1"/>
                <w:sz w:val="28"/>
                <w:szCs w:val="28"/>
                <w:u w:val="single"/>
              </w:rPr>
            </w:pPr>
            <w:hyperlink r:id="rId15" w:history="1">
              <w:r w:rsidR="00533755" w:rsidRPr="00C06271">
                <w:rPr>
                  <w:rFonts w:ascii="Times New Roman" w:eastAsia="標楷體" w:hAnsi="Times New Roman" w:cs="Times New Roman"/>
                  <w:color w:val="0563C1"/>
                  <w:sz w:val="28"/>
                  <w:szCs w:val="28"/>
                  <w:u w:val="single"/>
                </w:rPr>
                <w:t>https://www.iqvia.com/</w:t>
              </w:r>
            </w:hyperlink>
          </w:p>
        </w:tc>
        <w:tc>
          <w:tcPr>
            <w:tcW w:w="1761" w:type="dxa"/>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AFI Karlín – Butterfly, Pernerova 691/42 186 00 Praha 8</w:t>
            </w:r>
          </w:p>
        </w:tc>
        <w:tc>
          <w:tcPr>
            <w:tcW w:w="5185" w:type="dxa"/>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 xml:space="preserve">IMS Health and Quintiles are now IQVIA, a world leader in using data, technology, advanced analytics and expertise to help customers drive healthcare - and human health - forward. Together with the companies we serve, we are enabling a more modern, more effective and more efficient healthcare system, and creating breakthrough solutions that transform business and patient outcomes. It’s bigger than better clinical trials. Or advances in technologies and analytics. Or faster insights. It’s about exploring a new path to better health outcomes via Human Data Science. </w:t>
            </w:r>
          </w:p>
        </w:tc>
      </w:tr>
      <w:tr w:rsidR="00C06271" w:rsidRPr="00C06271" w:rsidTr="00C06271">
        <w:trPr>
          <w:trHeight w:val="1500"/>
        </w:trPr>
        <w:tc>
          <w:tcPr>
            <w:tcW w:w="757" w:type="dxa"/>
            <w:noWrap/>
            <w:hideMark/>
          </w:tcPr>
          <w:p w:rsidR="00533755" w:rsidRPr="00533755" w:rsidRDefault="00533755" w:rsidP="00533755">
            <w:pPr>
              <w:jc w:val="cente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7</w:t>
            </w:r>
          </w:p>
        </w:tc>
        <w:tc>
          <w:tcPr>
            <w:tcW w:w="1974" w:type="dxa"/>
            <w:noWrap/>
            <w:hideMark/>
          </w:tcPr>
          <w:p w:rsidR="00533755" w:rsidRPr="00533755" w:rsidRDefault="00533755" w:rsidP="00533755">
            <w:pPr>
              <w:rPr>
                <w:rFonts w:ascii="Times New Roman" w:eastAsia="標楷體" w:hAnsi="Times New Roman" w:cs="Times New Roman"/>
                <w:b/>
                <w:color w:val="000000"/>
                <w:sz w:val="28"/>
                <w:szCs w:val="28"/>
              </w:rPr>
            </w:pPr>
            <w:r w:rsidRPr="00533755">
              <w:rPr>
                <w:rFonts w:ascii="Times New Roman" w:eastAsia="標楷體" w:hAnsi="Times New Roman" w:cs="Times New Roman"/>
                <w:b/>
                <w:color w:val="000000"/>
                <w:sz w:val="28"/>
                <w:szCs w:val="28"/>
              </w:rPr>
              <w:t>Neox Clinical Research</w:t>
            </w:r>
          </w:p>
        </w:tc>
        <w:tc>
          <w:tcPr>
            <w:tcW w:w="3189" w:type="dxa"/>
            <w:noWrap/>
            <w:hideMark/>
          </w:tcPr>
          <w:p w:rsidR="00533755" w:rsidRPr="00533755" w:rsidRDefault="0031576A" w:rsidP="00533755">
            <w:pPr>
              <w:rPr>
                <w:rFonts w:ascii="Times New Roman" w:eastAsia="標楷體" w:hAnsi="Times New Roman" w:cs="Times New Roman"/>
                <w:color w:val="0563C1"/>
                <w:sz w:val="28"/>
                <w:szCs w:val="28"/>
                <w:u w:val="single"/>
              </w:rPr>
            </w:pPr>
            <w:hyperlink r:id="rId16" w:history="1">
              <w:r w:rsidR="00533755" w:rsidRPr="00C06271">
                <w:rPr>
                  <w:rFonts w:ascii="Times New Roman" w:eastAsia="標楷體" w:hAnsi="Times New Roman" w:cs="Times New Roman"/>
                  <w:color w:val="0563C1"/>
                  <w:sz w:val="28"/>
                  <w:szCs w:val="28"/>
                  <w:u w:val="single"/>
                </w:rPr>
                <w:t>https://www.neoxcro.com/</w:t>
              </w:r>
            </w:hyperlink>
          </w:p>
        </w:tc>
        <w:tc>
          <w:tcPr>
            <w:tcW w:w="1761" w:type="dxa"/>
            <w:noWrap/>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V Jám</w:t>
            </w:r>
            <w:r w:rsidRPr="00533755">
              <w:rPr>
                <w:rFonts w:ascii="Times New Roman" w:eastAsia="新細明體" w:hAnsi="Times New Roman" w:cs="Times New Roman"/>
                <w:color w:val="000000"/>
                <w:sz w:val="28"/>
                <w:szCs w:val="28"/>
              </w:rPr>
              <w:t>ě</w:t>
            </w:r>
            <w:r w:rsidRPr="00533755">
              <w:rPr>
                <w:rFonts w:ascii="Times New Roman" w:eastAsia="標楷體" w:hAnsi="Times New Roman" w:cs="Times New Roman"/>
                <w:color w:val="000000"/>
                <w:sz w:val="28"/>
                <w:szCs w:val="28"/>
              </w:rPr>
              <w:t xml:space="preserve"> 1, 110 00 Praha 1</w:t>
            </w:r>
          </w:p>
        </w:tc>
        <w:tc>
          <w:tcPr>
            <w:tcW w:w="5185" w:type="dxa"/>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Privately owned full service clinical CRO with headquarters in Prague, Czech Republic. We conduct clinical trials for pharmaceutical, biotechnology and medical device companies and other CRO’s throughout Europe with a focus on Central and Eastern Europe (CEE). The company was established in 2004 and since then we have conducted hundreds of studies covering all major therapeutic areas with an emphasis on Oncology, Cardiology and the CNS.</w:t>
            </w:r>
          </w:p>
        </w:tc>
      </w:tr>
      <w:tr w:rsidR="00C06271" w:rsidRPr="00C06271" w:rsidTr="00C06271">
        <w:trPr>
          <w:trHeight w:val="2070"/>
        </w:trPr>
        <w:tc>
          <w:tcPr>
            <w:tcW w:w="757" w:type="dxa"/>
            <w:noWrap/>
            <w:hideMark/>
          </w:tcPr>
          <w:p w:rsidR="00533755" w:rsidRPr="00533755" w:rsidRDefault="00533755" w:rsidP="00533755">
            <w:pPr>
              <w:jc w:val="cente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lastRenderedPageBreak/>
              <w:t>8</w:t>
            </w:r>
          </w:p>
        </w:tc>
        <w:tc>
          <w:tcPr>
            <w:tcW w:w="1974" w:type="dxa"/>
            <w:noWrap/>
            <w:hideMark/>
          </w:tcPr>
          <w:p w:rsidR="00533755" w:rsidRPr="00533755" w:rsidRDefault="00533755" w:rsidP="00533755">
            <w:pPr>
              <w:rPr>
                <w:rFonts w:ascii="Times New Roman" w:eastAsia="標楷體" w:hAnsi="Times New Roman" w:cs="Times New Roman"/>
                <w:b/>
                <w:color w:val="000000"/>
                <w:sz w:val="28"/>
                <w:szCs w:val="28"/>
              </w:rPr>
            </w:pPr>
            <w:r w:rsidRPr="00533755">
              <w:rPr>
                <w:rFonts w:ascii="Times New Roman" w:eastAsia="標楷體" w:hAnsi="Times New Roman" w:cs="Times New Roman"/>
                <w:b/>
                <w:color w:val="000000"/>
                <w:sz w:val="28"/>
                <w:szCs w:val="28"/>
              </w:rPr>
              <w:t>PPD</w:t>
            </w:r>
          </w:p>
        </w:tc>
        <w:tc>
          <w:tcPr>
            <w:tcW w:w="3189" w:type="dxa"/>
            <w:noWrap/>
            <w:hideMark/>
          </w:tcPr>
          <w:p w:rsidR="00533755" w:rsidRPr="00533755" w:rsidRDefault="0031576A" w:rsidP="00533755">
            <w:pPr>
              <w:rPr>
                <w:rFonts w:ascii="Times New Roman" w:eastAsia="標楷體" w:hAnsi="Times New Roman" w:cs="Times New Roman"/>
                <w:color w:val="0563C1"/>
                <w:sz w:val="28"/>
                <w:szCs w:val="28"/>
                <w:u w:val="single"/>
              </w:rPr>
            </w:pPr>
            <w:hyperlink r:id="rId17" w:history="1">
              <w:r w:rsidR="00533755" w:rsidRPr="00C06271">
                <w:rPr>
                  <w:rFonts w:ascii="Times New Roman" w:eastAsia="標楷體" w:hAnsi="Times New Roman" w:cs="Times New Roman"/>
                  <w:color w:val="0563C1"/>
                  <w:sz w:val="28"/>
                  <w:szCs w:val="28"/>
                  <w:u w:val="single"/>
                </w:rPr>
                <w:t>https://www.ppd.com</w:t>
              </w:r>
            </w:hyperlink>
          </w:p>
        </w:tc>
        <w:tc>
          <w:tcPr>
            <w:tcW w:w="1761" w:type="dxa"/>
            <w:noWrap/>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Budejovicka alej Antala Staska 2027/79 140 00 Praha 4</w:t>
            </w:r>
          </w:p>
        </w:tc>
        <w:tc>
          <w:tcPr>
            <w:tcW w:w="5185" w:type="dxa"/>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PPD is a leading global contract research organization providing comprehensive, integrated drug development, laboratory and lifecycle management services. Our clients and partners include pharmaceutical, biotechnology, medical device, academic and government organizations. With offices in 48 countries and more than 20,000 professionals worldwide, PPD applies innovative technologies, therapeutic expertise and a firm commitment to quality to help clients and partners bend the cost and time curve of drug development and optimize value in delivering life-changing therapies to improve health.</w:t>
            </w:r>
          </w:p>
        </w:tc>
      </w:tr>
      <w:tr w:rsidR="00C06271" w:rsidRPr="00C06271" w:rsidTr="00C06271">
        <w:trPr>
          <w:trHeight w:val="2685"/>
        </w:trPr>
        <w:tc>
          <w:tcPr>
            <w:tcW w:w="757" w:type="dxa"/>
            <w:noWrap/>
            <w:hideMark/>
          </w:tcPr>
          <w:p w:rsidR="00533755" w:rsidRPr="00533755" w:rsidRDefault="00533755" w:rsidP="00533755">
            <w:pPr>
              <w:jc w:val="cente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9</w:t>
            </w:r>
          </w:p>
        </w:tc>
        <w:tc>
          <w:tcPr>
            <w:tcW w:w="1974" w:type="dxa"/>
            <w:noWrap/>
            <w:hideMark/>
          </w:tcPr>
          <w:p w:rsidR="00533755" w:rsidRPr="00533755" w:rsidRDefault="00533755" w:rsidP="00533755">
            <w:pPr>
              <w:rPr>
                <w:rFonts w:ascii="Times New Roman" w:eastAsia="標楷體" w:hAnsi="Times New Roman" w:cs="Times New Roman"/>
                <w:b/>
                <w:color w:val="000000"/>
                <w:sz w:val="28"/>
                <w:szCs w:val="28"/>
              </w:rPr>
            </w:pPr>
            <w:r w:rsidRPr="00533755">
              <w:rPr>
                <w:rFonts w:ascii="Times New Roman" w:eastAsia="標楷體" w:hAnsi="Times New Roman" w:cs="Times New Roman"/>
                <w:b/>
                <w:color w:val="000000"/>
                <w:sz w:val="28"/>
                <w:szCs w:val="28"/>
              </w:rPr>
              <w:t>PRA Health Sciences</w:t>
            </w:r>
          </w:p>
        </w:tc>
        <w:tc>
          <w:tcPr>
            <w:tcW w:w="3189" w:type="dxa"/>
            <w:noWrap/>
            <w:hideMark/>
          </w:tcPr>
          <w:p w:rsidR="00533755" w:rsidRPr="00533755" w:rsidRDefault="0031576A" w:rsidP="00533755">
            <w:pPr>
              <w:rPr>
                <w:rFonts w:ascii="Times New Roman" w:eastAsia="標楷體" w:hAnsi="Times New Roman" w:cs="Times New Roman"/>
                <w:color w:val="0563C1"/>
                <w:sz w:val="28"/>
                <w:szCs w:val="28"/>
                <w:u w:val="single"/>
              </w:rPr>
            </w:pPr>
            <w:hyperlink r:id="rId18" w:history="1">
              <w:r w:rsidR="00533755" w:rsidRPr="00C06271">
                <w:rPr>
                  <w:rFonts w:ascii="Times New Roman" w:eastAsia="標楷體" w:hAnsi="Times New Roman" w:cs="Times New Roman"/>
                  <w:color w:val="0563C1"/>
                  <w:sz w:val="28"/>
                  <w:szCs w:val="28"/>
                  <w:u w:val="single"/>
                </w:rPr>
                <w:t>https://prahs.com/</w:t>
              </w:r>
            </w:hyperlink>
          </w:p>
        </w:tc>
        <w:tc>
          <w:tcPr>
            <w:tcW w:w="1761" w:type="dxa"/>
            <w:noWrap/>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Jankovcova 1569/2c Prague 7, 170 00</w:t>
            </w:r>
          </w:p>
        </w:tc>
        <w:tc>
          <w:tcPr>
            <w:tcW w:w="5185" w:type="dxa"/>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The story of PRA Health Sciences would naturally talk about how we’ve become one of the world’s largest CROs. It would talk about our innovation and growth and would speak to our operational efficiencies and transparency. It would highlight our expertise and customization. And it would touch on the incredible differences we’ve made, over our more than 30 years, in helping to bring to market everything from niche treatments and therapies to blockbuster drugs.</w:t>
            </w:r>
            <w:r w:rsidRPr="00533755">
              <w:rPr>
                <w:rFonts w:ascii="Times New Roman" w:eastAsia="標楷體" w:hAnsi="Times New Roman" w:cs="Times New Roman"/>
                <w:color w:val="000000"/>
                <w:sz w:val="28"/>
                <w:szCs w:val="28"/>
              </w:rPr>
              <w:br/>
            </w:r>
            <w:r w:rsidRPr="00533755">
              <w:rPr>
                <w:rFonts w:ascii="Times New Roman" w:eastAsia="標楷體" w:hAnsi="Times New Roman" w:cs="Times New Roman"/>
                <w:color w:val="000000"/>
                <w:sz w:val="28"/>
                <w:szCs w:val="28"/>
              </w:rPr>
              <w:lastRenderedPageBreak/>
              <w:t>More than anything else, our story would be about people. Not only our over 16,000 + employees operating in more than 80 countries, though they’d certainly be a big part of it, but also the people that inspire them.</w:t>
            </w:r>
          </w:p>
        </w:tc>
      </w:tr>
      <w:tr w:rsidR="00C06271" w:rsidRPr="00C06271" w:rsidTr="00C06271">
        <w:trPr>
          <w:trHeight w:val="870"/>
        </w:trPr>
        <w:tc>
          <w:tcPr>
            <w:tcW w:w="757" w:type="dxa"/>
            <w:noWrap/>
            <w:hideMark/>
          </w:tcPr>
          <w:p w:rsidR="00533755" w:rsidRPr="00533755" w:rsidRDefault="00533755" w:rsidP="00533755">
            <w:pPr>
              <w:jc w:val="cente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lastRenderedPageBreak/>
              <w:t>10</w:t>
            </w:r>
          </w:p>
        </w:tc>
        <w:tc>
          <w:tcPr>
            <w:tcW w:w="1974" w:type="dxa"/>
            <w:noWrap/>
            <w:hideMark/>
          </w:tcPr>
          <w:p w:rsidR="00533755" w:rsidRPr="00533755" w:rsidRDefault="00533755" w:rsidP="00533755">
            <w:pPr>
              <w:rPr>
                <w:rFonts w:ascii="Times New Roman" w:eastAsia="標楷體" w:hAnsi="Times New Roman" w:cs="Times New Roman"/>
                <w:b/>
                <w:color w:val="000000"/>
                <w:sz w:val="28"/>
                <w:szCs w:val="28"/>
              </w:rPr>
            </w:pPr>
            <w:r w:rsidRPr="00533755">
              <w:rPr>
                <w:rFonts w:ascii="Times New Roman" w:eastAsia="標楷體" w:hAnsi="Times New Roman" w:cs="Times New Roman"/>
                <w:b/>
                <w:color w:val="000000"/>
                <w:sz w:val="28"/>
                <w:szCs w:val="28"/>
              </w:rPr>
              <w:t>PrimeVigilance</w:t>
            </w:r>
          </w:p>
        </w:tc>
        <w:tc>
          <w:tcPr>
            <w:tcW w:w="3189" w:type="dxa"/>
            <w:noWrap/>
            <w:hideMark/>
          </w:tcPr>
          <w:p w:rsidR="00533755" w:rsidRPr="00533755" w:rsidRDefault="0031576A" w:rsidP="00533755">
            <w:pPr>
              <w:rPr>
                <w:rFonts w:ascii="Times New Roman" w:eastAsia="標楷體" w:hAnsi="Times New Roman" w:cs="Times New Roman"/>
                <w:color w:val="0563C1"/>
                <w:sz w:val="28"/>
                <w:szCs w:val="28"/>
                <w:u w:val="single"/>
              </w:rPr>
            </w:pPr>
            <w:hyperlink r:id="rId19" w:history="1">
              <w:r w:rsidR="00533755" w:rsidRPr="00C06271">
                <w:rPr>
                  <w:rFonts w:ascii="Times New Roman" w:eastAsia="標楷體" w:hAnsi="Times New Roman" w:cs="Times New Roman"/>
                  <w:color w:val="0563C1"/>
                  <w:sz w:val="28"/>
                  <w:szCs w:val="28"/>
                  <w:u w:val="single"/>
                </w:rPr>
                <w:t>https://www.primevigilance.com/</w:t>
              </w:r>
            </w:hyperlink>
          </w:p>
        </w:tc>
        <w:tc>
          <w:tcPr>
            <w:tcW w:w="1761" w:type="dxa"/>
            <w:noWrap/>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Stetkova 18,140 00 Praha 4</w:t>
            </w:r>
          </w:p>
        </w:tc>
        <w:tc>
          <w:tcPr>
            <w:tcW w:w="5185" w:type="dxa"/>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PrimeVigilance, an Ergomed Group company, was established in 2008 by Dr. Miroslav Reljanovic together with co-founder Dr. Elliot Brown. PrimeVigilance o</w:t>
            </w:r>
            <w:r w:rsidRPr="00533755">
              <w:rPr>
                <w:rFonts w:ascii="Cambria Math" w:eastAsia="標楷體" w:hAnsi="Cambria Math" w:cs="Cambria Math"/>
                <w:color w:val="000000"/>
                <w:sz w:val="28"/>
                <w:szCs w:val="28"/>
              </w:rPr>
              <w:t>ﬀ</w:t>
            </w:r>
            <w:r w:rsidRPr="00533755">
              <w:rPr>
                <w:rFonts w:ascii="Times New Roman" w:eastAsia="標楷體" w:hAnsi="Times New Roman" w:cs="Times New Roman"/>
                <w:color w:val="000000"/>
                <w:sz w:val="28"/>
                <w:szCs w:val="28"/>
              </w:rPr>
              <w:t>ers holistic, top quality, cost-e</w:t>
            </w:r>
            <w:r w:rsidRPr="00533755">
              <w:rPr>
                <w:rFonts w:ascii="Cambria Math" w:eastAsia="標楷體" w:hAnsi="Cambria Math" w:cs="Cambria Math"/>
                <w:color w:val="000000"/>
                <w:sz w:val="28"/>
                <w:szCs w:val="28"/>
              </w:rPr>
              <w:t>ﬀ</w:t>
            </w:r>
            <w:r w:rsidRPr="00533755">
              <w:rPr>
                <w:rFonts w:ascii="Times New Roman" w:eastAsia="標楷體" w:hAnsi="Times New Roman" w:cs="Times New Roman"/>
                <w:color w:val="000000"/>
                <w:sz w:val="28"/>
                <w:szCs w:val="28"/>
              </w:rPr>
              <w:t>ective, innovative safety services for pharmaceutical, generic and biotechnology companies.</w:t>
            </w:r>
          </w:p>
        </w:tc>
      </w:tr>
      <w:tr w:rsidR="00C06271" w:rsidRPr="00C06271" w:rsidTr="00C06271">
        <w:trPr>
          <w:trHeight w:val="2610"/>
        </w:trPr>
        <w:tc>
          <w:tcPr>
            <w:tcW w:w="757" w:type="dxa"/>
            <w:noWrap/>
            <w:hideMark/>
          </w:tcPr>
          <w:p w:rsidR="00533755" w:rsidRPr="00533755" w:rsidRDefault="00533755" w:rsidP="00533755">
            <w:pPr>
              <w:jc w:val="cente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11</w:t>
            </w:r>
          </w:p>
        </w:tc>
        <w:tc>
          <w:tcPr>
            <w:tcW w:w="1974" w:type="dxa"/>
            <w:noWrap/>
            <w:hideMark/>
          </w:tcPr>
          <w:p w:rsidR="00533755" w:rsidRPr="00533755" w:rsidRDefault="00533755" w:rsidP="00533755">
            <w:pPr>
              <w:rPr>
                <w:rFonts w:ascii="Times New Roman" w:eastAsia="標楷體" w:hAnsi="Times New Roman" w:cs="Times New Roman"/>
                <w:b/>
                <w:color w:val="000000"/>
                <w:sz w:val="28"/>
                <w:szCs w:val="28"/>
              </w:rPr>
            </w:pPr>
            <w:r w:rsidRPr="00533755">
              <w:rPr>
                <w:rFonts w:ascii="Times New Roman" w:eastAsia="標楷體" w:hAnsi="Times New Roman" w:cs="Times New Roman"/>
                <w:b/>
                <w:color w:val="000000"/>
                <w:sz w:val="28"/>
                <w:szCs w:val="28"/>
              </w:rPr>
              <w:t>Signant Health</w:t>
            </w:r>
          </w:p>
        </w:tc>
        <w:tc>
          <w:tcPr>
            <w:tcW w:w="3189" w:type="dxa"/>
            <w:noWrap/>
            <w:hideMark/>
          </w:tcPr>
          <w:p w:rsidR="00533755" w:rsidRPr="00533755" w:rsidRDefault="0031576A" w:rsidP="00533755">
            <w:pPr>
              <w:rPr>
                <w:rFonts w:ascii="Times New Roman" w:eastAsia="標楷體" w:hAnsi="Times New Roman" w:cs="Times New Roman"/>
                <w:color w:val="0563C1"/>
                <w:sz w:val="28"/>
                <w:szCs w:val="28"/>
                <w:u w:val="single"/>
              </w:rPr>
            </w:pPr>
            <w:hyperlink r:id="rId20" w:history="1">
              <w:r w:rsidR="00533755" w:rsidRPr="00C06271">
                <w:rPr>
                  <w:rFonts w:ascii="Times New Roman" w:eastAsia="標楷體" w:hAnsi="Times New Roman" w:cs="Times New Roman"/>
                  <w:color w:val="0563C1"/>
                  <w:sz w:val="28"/>
                  <w:szCs w:val="28"/>
                  <w:u w:val="single"/>
                </w:rPr>
                <w:t>https://signanthealth.com</w:t>
              </w:r>
            </w:hyperlink>
          </w:p>
        </w:tc>
        <w:tc>
          <w:tcPr>
            <w:tcW w:w="1761" w:type="dxa"/>
            <w:noWrap/>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Slezská 2127/13,120 00 Praha 2</w:t>
            </w:r>
          </w:p>
        </w:tc>
        <w:tc>
          <w:tcPr>
            <w:tcW w:w="5185" w:type="dxa"/>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 xml:space="preserve">Signant Health provides solutions that simplify every step of the patient journey to make it easier for people to participate in, and for sites and study teams to run, clinical trials. Signant unites eCOA, eConsent, Patient Engagement, IRT, Clinical Supplies and Endpoint Quality into the industry’s most comprehensive patient-centric suite – an evolution built on more than 20 years of proven clinical research technology. Our intense focus on the patient experience, </w:t>
            </w:r>
            <w:r w:rsidRPr="00533755">
              <w:rPr>
                <w:rFonts w:ascii="Times New Roman" w:eastAsia="標楷體" w:hAnsi="Times New Roman" w:cs="Times New Roman"/>
                <w:color w:val="000000"/>
                <w:sz w:val="28"/>
                <w:szCs w:val="28"/>
              </w:rPr>
              <w:lastRenderedPageBreak/>
              <w:t>deep therapeutic area expertise and global operational scale enable hundreds of sponsors and CROs (including all Top 20 pharma) to extend the reach of drug development, expand patient opportunities and improve data quality – helping them bring life-changing therapies to our families and communities around the world.</w:t>
            </w:r>
          </w:p>
        </w:tc>
      </w:tr>
      <w:tr w:rsidR="00C06271" w:rsidRPr="00C06271" w:rsidTr="00C06271">
        <w:trPr>
          <w:trHeight w:val="870"/>
        </w:trPr>
        <w:tc>
          <w:tcPr>
            <w:tcW w:w="757" w:type="dxa"/>
            <w:noWrap/>
            <w:hideMark/>
          </w:tcPr>
          <w:p w:rsidR="00533755" w:rsidRPr="00533755" w:rsidRDefault="00533755" w:rsidP="00533755">
            <w:pPr>
              <w:jc w:val="cente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lastRenderedPageBreak/>
              <w:t>12</w:t>
            </w:r>
          </w:p>
        </w:tc>
        <w:tc>
          <w:tcPr>
            <w:tcW w:w="1974" w:type="dxa"/>
            <w:noWrap/>
            <w:hideMark/>
          </w:tcPr>
          <w:p w:rsidR="00533755" w:rsidRPr="00533755" w:rsidRDefault="00533755" w:rsidP="00533755">
            <w:pPr>
              <w:rPr>
                <w:rFonts w:ascii="Times New Roman" w:eastAsia="標楷體" w:hAnsi="Times New Roman" w:cs="Times New Roman"/>
                <w:b/>
                <w:color w:val="000000"/>
                <w:sz w:val="28"/>
                <w:szCs w:val="28"/>
              </w:rPr>
            </w:pPr>
            <w:r w:rsidRPr="00533755">
              <w:rPr>
                <w:rFonts w:ascii="Times New Roman" w:eastAsia="標楷體" w:hAnsi="Times New Roman" w:cs="Times New Roman"/>
                <w:b/>
                <w:color w:val="000000"/>
                <w:sz w:val="28"/>
                <w:szCs w:val="28"/>
              </w:rPr>
              <w:t>Syneos Health</w:t>
            </w:r>
          </w:p>
        </w:tc>
        <w:tc>
          <w:tcPr>
            <w:tcW w:w="3189" w:type="dxa"/>
            <w:noWrap/>
            <w:hideMark/>
          </w:tcPr>
          <w:p w:rsidR="00533755" w:rsidRPr="00533755" w:rsidRDefault="0031576A" w:rsidP="00533755">
            <w:pPr>
              <w:rPr>
                <w:rFonts w:ascii="Times New Roman" w:eastAsia="標楷體" w:hAnsi="Times New Roman" w:cs="Times New Roman"/>
                <w:color w:val="0563C1"/>
                <w:sz w:val="28"/>
                <w:szCs w:val="28"/>
                <w:u w:val="single"/>
              </w:rPr>
            </w:pPr>
            <w:hyperlink r:id="rId21" w:history="1">
              <w:r w:rsidR="00533755" w:rsidRPr="00C06271">
                <w:rPr>
                  <w:rFonts w:ascii="Times New Roman" w:eastAsia="標楷體" w:hAnsi="Times New Roman" w:cs="Times New Roman"/>
                  <w:color w:val="0563C1"/>
                  <w:sz w:val="28"/>
                  <w:szCs w:val="28"/>
                  <w:u w:val="single"/>
                </w:rPr>
                <w:t>https://www.syneoshealth.com</w:t>
              </w:r>
            </w:hyperlink>
          </w:p>
        </w:tc>
        <w:tc>
          <w:tcPr>
            <w:tcW w:w="1761" w:type="dxa"/>
            <w:noWrap/>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Lomnickeho 1705/9 14000 Praha-Nusle</w:t>
            </w:r>
          </w:p>
        </w:tc>
        <w:tc>
          <w:tcPr>
            <w:tcW w:w="5185" w:type="dxa"/>
            <w:hideMark/>
          </w:tcPr>
          <w:p w:rsidR="00533755" w:rsidRPr="00533755" w:rsidRDefault="00533755" w:rsidP="00533755">
            <w:pPr>
              <w:rPr>
                <w:rFonts w:ascii="Times New Roman" w:eastAsia="標楷體" w:hAnsi="Times New Roman" w:cs="Times New Roman"/>
                <w:color w:val="000000"/>
                <w:sz w:val="28"/>
                <w:szCs w:val="28"/>
              </w:rPr>
            </w:pPr>
            <w:r w:rsidRPr="00533755">
              <w:rPr>
                <w:rFonts w:ascii="Times New Roman" w:eastAsia="標楷體" w:hAnsi="Times New Roman" w:cs="Times New Roman"/>
                <w:color w:val="000000"/>
                <w:sz w:val="28"/>
                <w:szCs w:val="28"/>
              </w:rPr>
              <w:t>Syneos Health conducts clinical studies for pharmaceutical companies in virtually all therapeutic areas. These generally aim to assess the extent of the body’s absorption and elimination of a drug to determine its safety for use in humans.</w:t>
            </w:r>
          </w:p>
        </w:tc>
      </w:tr>
    </w:tbl>
    <w:p w:rsidR="00533755" w:rsidRPr="00C06271" w:rsidRDefault="00533755">
      <w:pPr>
        <w:rPr>
          <w:rFonts w:ascii="Times New Roman" w:eastAsia="標楷體" w:hAnsi="Times New Roman" w:cs="Times New Roman"/>
          <w:sz w:val="28"/>
          <w:szCs w:val="28"/>
        </w:rPr>
      </w:pPr>
    </w:p>
    <w:p w:rsidR="00533755" w:rsidRPr="00C06271" w:rsidRDefault="00533755">
      <w:pPr>
        <w:rPr>
          <w:rFonts w:ascii="Times New Roman" w:eastAsia="標楷體" w:hAnsi="Times New Roman" w:cs="Times New Roman"/>
          <w:sz w:val="28"/>
          <w:szCs w:val="28"/>
        </w:rPr>
      </w:pPr>
    </w:p>
    <w:p w:rsidR="00533755" w:rsidRPr="00C06271" w:rsidRDefault="00533755">
      <w:pPr>
        <w:rPr>
          <w:rFonts w:ascii="Times New Roman" w:eastAsia="標楷體" w:hAnsi="Times New Roman" w:cs="Times New Roman"/>
          <w:sz w:val="28"/>
          <w:szCs w:val="28"/>
        </w:rPr>
      </w:pPr>
    </w:p>
    <w:sectPr w:rsidR="00533755" w:rsidRPr="00C06271" w:rsidSect="00533755">
      <w:footerReference w:type="default" r:id="rId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76A" w:rsidRDefault="0031576A" w:rsidP="00DF27C4">
      <w:pPr>
        <w:spacing w:after="0" w:line="240" w:lineRule="auto"/>
      </w:pPr>
      <w:r>
        <w:separator/>
      </w:r>
    </w:p>
  </w:endnote>
  <w:endnote w:type="continuationSeparator" w:id="0">
    <w:p w:rsidR="0031576A" w:rsidRDefault="0031576A" w:rsidP="00DF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325142"/>
      <w:docPartObj>
        <w:docPartGallery w:val="Page Numbers (Bottom of Page)"/>
        <w:docPartUnique/>
      </w:docPartObj>
    </w:sdtPr>
    <w:sdtEndPr/>
    <w:sdtContent>
      <w:p w:rsidR="00DF27C4" w:rsidRDefault="00DF27C4">
        <w:pPr>
          <w:pStyle w:val="a7"/>
          <w:jc w:val="center"/>
        </w:pPr>
        <w:r>
          <w:fldChar w:fldCharType="begin"/>
        </w:r>
        <w:r>
          <w:instrText>PAGE   \* MERGEFORMAT</w:instrText>
        </w:r>
        <w:r>
          <w:fldChar w:fldCharType="separate"/>
        </w:r>
        <w:r w:rsidR="00C90E30" w:rsidRPr="00C90E30">
          <w:rPr>
            <w:noProof/>
            <w:lang w:val="zh-TW"/>
          </w:rPr>
          <w:t>2</w:t>
        </w:r>
        <w:r>
          <w:fldChar w:fldCharType="end"/>
        </w:r>
      </w:p>
    </w:sdtContent>
  </w:sdt>
  <w:p w:rsidR="00DF27C4" w:rsidRDefault="00DF27C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76A" w:rsidRDefault="0031576A" w:rsidP="00DF27C4">
      <w:pPr>
        <w:spacing w:after="0" w:line="240" w:lineRule="auto"/>
      </w:pPr>
      <w:r>
        <w:separator/>
      </w:r>
    </w:p>
  </w:footnote>
  <w:footnote w:type="continuationSeparator" w:id="0">
    <w:p w:rsidR="0031576A" w:rsidRDefault="0031576A" w:rsidP="00DF27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755"/>
    <w:rsid w:val="00136F5A"/>
    <w:rsid w:val="0031576A"/>
    <w:rsid w:val="00494150"/>
    <w:rsid w:val="00533755"/>
    <w:rsid w:val="00581DD4"/>
    <w:rsid w:val="006A12C7"/>
    <w:rsid w:val="007B06D3"/>
    <w:rsid w:val="00A3796F"/>
    <w:rsid w:val="00B5413A"/>
    <w:rsid w:val="00C06271"/>
    <w:rsid w:val="00C90E30"/>
    <w:rsid w:val="00DF2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D6A68B-153B-4439-9D17-F089CABC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533755"/>
    <w:rPr>
      <w:color w:val="0563C1"/>
      <w:u w:val="single"/>
    </w:rPr>
  </w:style>
  <w:style w:type="paragraph" w:styleId="a5">
    <w:name w:val="header"/>
    <w:basedOn w:val="a"/>
    <w:link w:val="a6"/>
    <w:uiPriority w:val="99"/>
    <w:unhideWhenUsed/>
    <w:rsid w:val="00DF27C4"/>
    <w:pPr>
      <w:tabs>
        <w:tab w:val="center" w:pos="4680"/>
        <w:tab w:val="right" w:pos="9360"/>
      </w:tabs>
      <w:spacing w:after="0" w:line="240" w:lineRule="auto"/>
    </w:pPr>
  </w:style>
  <w:style w:type="character" w:customStyle="1" w:styleId="a6">
    <w:name w:val="頁首 字元"/>
    <w:basedOn w:val="a0"/>
    <w:link w:val="a5"/>
    <w:uiPriority w:val="99"/>
    <w:rsid w:val="00DF27C4"/>
  </w:style>
  <w:style w:type="paragraph" w:styleId="a7">
    <w:name w:val="footer"/>
    <w:basedOn w:val="a"/>
    <w:link w:val="a8"/>
    <w:uiPriority w:val="99"/>
    <w:unhideWhenUsed/>
    <w:rsid w:val="00DF27C4"/>
    <w:pPr>
      <w:tabs>
        <w:tab w:val="center" w:pos="4680"/>
        <w:tab w:val="right" w:pos="9360"/>
      </w:tabs>
      <w:spacing w:after="0" w:line="240" w:lineRule="auto"/>
    </w:pPr>
  </w:style>
  <w:style w:type="character" w:customStyle="1" w:styleId="a8">
    <w:name w:val="頁尾 字元"/>
    <w:basedOn w:val="a0"/>
    <w:link w:val="a7"/>
    <w:uiPriority w:val="99"/>
    <w:rsid w:val="00DF2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183763">
      <w:bodyDiv w:val="1"/>
      <w:marLeft w:val="0"/>
      <w:marRight w:val="0"/>
      <w:marTop w:val="0"/>
      <w:marBottom w:val="0"/>
      <w:divBdr>
        <w:top w:val="none" w:sz="0" w:space="0" w:color="auto"/>
        <w:left w:val="none" w:sz="0" w:space="0" w:color="auto"/>
        <w:bottom w:val="none" w:sz="0" w:space="0" w:color="auto"/>
        <w:right w:val="none" w:sz="0" w:space="0" w:color="auto"/>
      </w:divBdr>
    </w:div>
    <w:div w:id="951327061">
      <w:bodyDiv w:val="1"/>
      <w:marLeft w:val="0"/>
      <w:marRight w:val="0"/>
      <w:marTop w:val="0"/>
      <w:marBottom w:val="0"/>
      <w:divBdr>
        <w:top w:val="none" w:sz="0" w:space="0" w:color="auto"/>
        <w:left w:val="none" w:sz="0" w:space="0" w:color="auto"/>
        <w:bottom w:val="none" w:sz="0" w:space="0" w:color="auto"/>
        <w:right w:val="none" w:sz="0" w:space="0" w:color="auto"/>
      </w:divBdr>
    </w:div>
    <w:div w:id="1206017217">
      <w:bodyDiv w:val="1"/>
      <w:marLeft w:val="0"/>
      <w:marRight w:val="0"/>
      <w:marTop w:val="0"/>
      <w:marBottom w:val="0"/>
      <w:divBdr>
        <w:top w:val="none" w:sz="0" w:space="0" w:color="auto"/>
        <w:left w:val="none" w:sz="0" w:space="0" w:color="auto"/>
        <w:bottom w:val="none" w:sz="0" w:space="0" w:color="auto"/>
        <w:right w:val="none" w:sz="0" w:space="0" w:color="auto"/>
      </w:divBdr>
    </w:div>
    <w:div w:id="1535579541">
      <w:bodyDiv w:val="1"/>
      <w:marLeft w:val="0"/>
      <w:marRight w:val="0"/>
      <w:marTop w:val="0"/>
      <w:marBottom w:val="0"/>
      <w:divBdr>
        <w:top w:val="none" w:sz="0" w:space="0" w:color="auto"/>
        <w:left w:val="none" w:sz="0" w:space="0" w:color="auto"/>
        <w:bottom w:val="none" w:sz="0" w:space="0" w:color="auto"/>
        <w:right w:val="none" w:sz="0" w:space="0" w:color="auto"/>
      </w:divBdr>
    </w:div>
    <w:div w:id="156679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jb.cz/en/" TargetMode="External"/><Relationship Id="rId13" Type="http://schemas.openxmlformats.org/officeDocument/2006/relationships/hyperlink" Target="https://cromospharma.com/" TargetMode="External"/><Relationship Id="rId18" Type="http://schemas.openxmlformats.org/officeDocument/2006/relationships/hyperlink" Target="https://prahs.com/" TargetMode="External"/><Relationship Id="rId3" Type="http://schemas.openxmlformats.org/officeDocument/2006/relationships/settings" Target="settings.xml"/><Relationship Id="rId21" Type="http://schemas.openxmlformats.org/officeDocument/2006/relationships/hyperlink" Target="https://www.syneoshealth.com/" TargetMode="External"/><Relationship Id="rId7" Type="http://schemas.openxmlformats.org/officeDocument/2006/relationships/hyperlink" Target="https://www.avcr.cz/en/" TargetMode="External"/><Relationship Id="rId12" Type="http://schemas.openxmlformats.org/officeDocument/2006/relationships/hyperlink" Target="https://www.covance.com/" TargetMode="External"/><Relationship Id="rId17" Type="http://schemas.openxmlformats.org/officeDocument/2006/relationships/hyperlink" Target="https://www.ppd.com/" TargetMode="External"/><Relationship Id="rId2" Type="http://schemas.openxmlformats.org/officeDocument/2006/relationships/styles" Target="styles.xml"/><Relationship Id="rId16" Type="http://schemas.openxmlformats.org/officeDocument/2006/relationships/hyperlink" Target="https://www.neoxcro.com/" TargetMode="External"/><Relationship Id="rId20" Type="http://schemas.openxmlformats.org/officeDocument/2006/relationships/hyperlink" Target="https://signanthealth.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epha.cz/"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qvia.com/" TargetMode="External"/><Relationship Id="rId23" Type="http://schemas.openxmlformats.org/officeDocument/2006/relationships/fontTable" Target="fontTable.xml"/><Relationship Id="rId10" Type="http://schemas.openxmlformats.org/officeDocument/2006/relationships/hyperlink" Target="http://www.a-pharma.cz/" TargetMode="External"/><Relationship Id="rId19" Type="http://schemas.openxmlformats.org/officeDocument/2006/relationships/hyperlink" Target="https://www.primevigilance.com/" TargetMode="External"/><Relationship Id="rId4" Type="http://schemas.openxmlformats.org/officeDocument/2006/relationships/webSettings" Target="webSettings.xml"/><Relationship Id="rId9" Type="http://schemas.openxmlformats.org/officeDocument/2006/relationships/hyperlink" Target="https://www.sujchbo.cz/home-ang/" TargetMode="External"/><Relationship Id="rId14" Type="http://schemas.openxmlformats.org/officeDocument/2006/relationships/hyperlink" Target="https://iconplc.com/"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76F77-F029-4A27-ADE4-50AB52A3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1065</Words>
  <Characters>6073</Characters>
  <Application>Microsoft Office Word</Application>
  <DocSecurity>0</DocSecurity>
  <Lines>50</Lines>
  <Paragraphs>14</Paragraphs>
  <ScaleCrop>false</ScaleCrop>
  <Company/>
  <LinksUpToDate>false</LinksUpToDate>
  <CharactersWithSpaces>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Economic_Division_CZ</dc:creator>
  <cp:lastModifiedBy>徐惠玲</cp:lastModifiedBy>
  <cp:revision>2</cp:revision>
  <cp:lastPrinted>2020-09-04T13:55:00Z</cp:lastPrinted>
  <dcterms:created xsi:type="dcterms:W3CDTF">2020-09-15T03:39:00Z</dcterms:created>
  <dcterms:modified xsi:type="dcterms:W3CDTF">2020-09-15T03:39:00Z</dcterms:modified>
</cp:coreProperties>
</file>